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EAD8" w14:textId="56E15B4A" w:rsidR="00670651" w:rsidRPr="00670651" w:rsidRDefault="00670651">
      <w:pPr>
        <w:rPr>
          <w:b/>
          <w:bCs/>
        </w:rPr>
      </w:pPr>
      <w:r w:rsidRPr="00670651">
        <w:rPr>
          <w:b/>
          <w:bCs/>
        </w:rPr>
        <w:t>To</w:t>
      </w:r>
      <w:r w:rsidR="00856B6B">
        <w:rPr>
          <w:b/>
          <w:bCs/>
        </w:rPr>
        <w:t>:</w:t>
      </w:r>
      <w:r w:rsidRPr="00670651">
        <w:rPr>
          <w:b/>
          <w:bCs/>
        </w:rPr>
        <w:t xml:space="preserve"> Calvert Green Parish Council Chair and Councillors</w:t>
      </w:r>
    </w:p>
    <w:p w14:paraId="6B1B488C" w14:textId="158DF2BF" w:rsidR="00670651" w:rsidRPr="00670651" w:rsidRDefault="00670651">
      <w:pPr>
        <w:rPr>
          <w:b/>
          <w:bCs/>
        </w:rPr>
      </w:pPr>
      <w:r w:rsidRPr="00670651">
        <w:rPr>
          <w:b/>
          <w:bCs/>
        </w:rPr>
        <w:t>Calvert Green Parish Council – Internal Auditor Report 202</w:t>
      </w:r>
      <w:r w:rsidR="00F52ED3">
        <w:rPr>
          <w:b/>
          <w:bCs/>
        </w:rPr>
        <w:t>5</w:t>
      </w:r>
      <w:r w:rsidRPr="00670651">
        <w:rPr>
          <w:b/>
          <w:bCs/>
        </w:rPr>
        <w:t>/</w:t>
      </w:r>
      <w:r w:rsidR="00FD2FAC">
        <w:rPr>
          <w:b/>
          <w:bCs/>
        </w:rPr>
        <w:t>2</w:t>
      </w:r>
      <w:r w:rsidR="00F52ED3">
        <w:rPr>
          <w:b/>
          <w:bCs/>
        </w:rPr>
        <w:t>6</w:t>
      </w:r>
    </w:p>
    <w:p w14:paraId="48DB041F" w14:textId="385C8638" w:rsidR="00C02C27" w:rsidRPr="007C48E0" w:rsidRDefault="00C02C27" w:rsidP="00C02C27">
      <w:pPr>
        <w:pStyle w:val="NormalWeb"/>
        <w:rPr>
          <w:rFonts w:ascii="Arial" w:hAnsi="Arial" w:cs="Arial"/>
          <w:color w:val="000000"/>
        </w:rPr>
      </w:pPr>
      <w:r w:rsidRPr="007C48E0">
        <w:rPr>
          <w:rFonts w:ascii="Arial" w:hAnsi="Arial" w:cs="Arial"/>
          <w:color w:val="000000"/>
        </w:rPr>
        <w:t xml:space="preserve">An internal audit of </w:t>
      </w:r>
      <w:r>
        <w:rPr>
          <w:rFonts w:ascii="Arial" w:hAnsi="Arial" w:cs="Arial"/>
          <w:color w:val="000000"/>
        </w:rPr>
        <w:t>Calvert Green</w:t>
      </w:r>
      <w:r w:rsidRPr="007C48E0">
        <w:rPr>
          <w:rFonts w:ascii="Arial" w:hAnsi="Arial" w:cs="Arial"/>
          <w:color w:val="000000"/>
        </w:rPr>
        <w:t xml:space="preserve"> Parish Council’s Governance and Internal Controls was undertaken as part of the audit for 2025/26.</w:t>
      </w:r>
    </w:p>
    <w:p w14:paraId="1539FA4C" w14:textId="77777777" w:rsidR="00C02C27" w:rsidRPr="007C48E0" w:rsidRDefault="00C02C27" w:rsidP="00C02C27">
      <w:pPr>
        <w:pStyle w:val="NormalWeb"/>
        <w:rPr>
          <w:rFonts w:ascii="Arial" w:hAnsi="Arial" w:cs="Arial"/>
          <w:color w:val="000000"/>
        </w:rPr>
      </w:pPr>
      <w:r w:rsidRPr="007C48E0">
        <w:rPr>
          <w:rFonts w:ascii="Arial" w:hAnsi="Arial" w:cs="Arial"/>
          <w:color w:val="000000"/>
        </w:rPr>
        <w:t>A review of controls and systems including sample testing has been undertaken to ensure compliance and proper management.</w:t>
      </w:r>
    </w:p>
    <w:p w14:paraId="6C43F1B3" w14:textId="77777777" w:rsidR="00C02C27" w:rsidRPr="007C48E0" w:rsidRDefault="00C02C27" w:rsidP="00C02C27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Any</w:t>
      </w:r>
      <w:r w:rsidRPr="007C48E0">
        <w:rPr>
          <w:rFonts w:ascii="Arial" w:hAnsi="Arial" w:cs="Arial"/>
          <w:color w:val="000000"/>
        </w:rPr>
        <w:t xml:space="preserve"> matters raised in the report are only those that came to attention during the internal audit work and </w:t>
      </w:r>
      <w:r>
        <w:rPr>
          <w:rFonts w:ascii="Arial" w:hAnsi="Arial" w:cs="Arial"/>
          <w:color w:val="000000"/>
        </w:rPr>
        <w:t>are</w:t>
      </w:r>
      <w:r w:rsidRPr="007C48E0">
        <w:rPr>
          <w:rFonts w:ascii="Arial" w:hAnsi="Arial" w:cs="Arial"/>
          <w:color w:val="000000"/>
        </w:rPr>
        <w:t xml:space="preserve"> based on the information provided and documents reviewed.</w:t>
      </w:r>
    </w:p>
    <w:p w14:paraId="059C53CC" w14:textId="4B3FE531" w:rsidR="00C02C27" w:rsidRPr="007C48E0" w:rsidRDefault="00C02C27" w:rsidP="00C02C27">
      <w:pPr>
        <w:pStyle w:val="NormalWeb"/>
        <w:rPr>
          <w:rFonts w:ascii="Arial" w:hAnsi="Arial" w:cs="Arial"/>
          <w:color w:val="000000"/>
        </w:rPr>
      </w:pPr>
      <w:r w:rsidRPr="007C48E0">
        <w:rPr>
          <w:rFonts w:ascii="Arial" w:hAnsi="Arial" w:cs="Arial"/>
          <w:color w:val="000000"/>
        </w:rPr>
        <w:t xml:space="preserve">I have completed the internal audit of </w:t>
      </w:r>
      <w:r w:rsidR="007D79E3">
        <w:rPr>
          <w:rFonts w:ascii="Arial" w:hAnsi="Arial" w:cs="Arial"/>
          <w:color w:val="000000"/>
        </w:rPr>
        <w:t>Calvert Green</w:t>
      </w:r>
      <w:r w:rsidRPr="007C48E0">
        <w:rPr>
          <w:rFonts w:ascii="Arial" w:hAnsi="Arial" w:cs="Arial"/>
          <w:color w:val="000000"/>
        </w:rPr>
        <w:t xml:space="preserve"> Parish Council for the year ended 31</w:t>
      </w:r>
      <w:r w:rsidRPr="007C48E0">
        <w:rPr>
          <w:rFonts w:ascii="Arial" w:hAnsi="Arial" w:cs="Arial"/>
          <w:color w:val="000000"/>
          <w:vertAlign w:val="superscript"/>
        </w:rPr>
        <w:t>st</w:t>
      </w:r>
      <w:r w:rsidRPr="007C48E0">
        <w:rPr>
          <w:rFonts w:ascii="Arial" w:hAnsi="Arial" w:cs="Arial"/>
          <w:color w:val="000000"/>
        </w:rPr>
        <w:t xml:space="preserve"> March 2026, which was carried out on </w:t>
      </w:r>
      <w:r w:rsidR="007D79E3">
        <w:rPr>
          <w:rFonts w:ascii="Arial" w:hAnsi="Arial" w:cs="Arial"/>
          <w:color w:val="000000"/>
        </w:rPr>
        <w:t>17</w:t>
      </w:r>
      <w:r w:rsidR="007D79E3" w:rsidRPr="007D79E3">
        <w:rPr>
          <w:rFonts w:ascii="Arial" w:hAnsi="Arial" w:cs="Arial"/>
          <w:color w:val="000000"/>
          <w:vertAlign w:val="superscript"/>
        </w:rPr>
        <w:t>th</w:t>
      </w:r>
      <w:r w:rsidR="007D79E3">
        <w:rPr>
          <w:rFonts w:ascii="Arial" w:hAnsi="Arial" w:cs="Arial"/>
          <w:color w:val="000000"/>
        </w:rPr>
        <w:t xml:space="preserve"> </w:t>
      </w:r>
      <w:r w:rsidR="003E3536">
        <w:rPr>
          <w:rFonts w:ascii="Arial" w:hAnsi="Arial" w:cs="Arial"/>
          <w:color w:val="000000"/>
        </w:rPr>
        <w:t>and 18</w:t>
      </w:r>
      <w:r w:rsidR="003E3536" w:rsidRPr="003E3536">
        <w:rPr>
          <w:rFonts w:ascii="Arial" w:hAnsi="Arial" w:cs="Arial"/>
          <w:color w:val="000000"/>
          <w:vertAlign w:val="superscript"/>
        </w:rPr>
        <w:t>th</w:t>
      </w:r>
      <w:r w:rsidR="003E3536">
        <w:rPr>
          <w:rFonts w:ascii="Arial" w:hAnsi="Arial" w:cs="Arial"/>
          <w:color w:val="000000"/>
        </w:rPr>
        <w:t xml:space="preserve"> </w:t>
      </w:r>
      <w:r w:rsidR="007D79E3">
        <w:rPr>
          <w:rFonts w:ascii="Arial" w:hAnsi="Arial" w:cs="Arial"/>
          <w:color w:val="000000"/>
        </w:rPr>
        <w:t>May</w:t>
      </w:r>
      <w:r w:rsidRPr="007C48E0">
        <w:rPr>
          <w:rFonts w:ascii="Arial" w:hAnsi="Arial" w:cs="Arial"/>
          <w:color w:val="000000"/>
        </w:rPr>
        <w:t xml:space="preserve"> 2026. Prior to the audit a “Pre-Audit” was carried out which tested items which are required to be published on the Council’s website.</w:t>
      </w:r>
    </w:p>
    <w:p w14:paraId="59475EA6" w14:textId="52CCBA32" w:rsidR="00C02C27" w:rsidRPr="009D0A58" w:rsidRDefault="00C02C27" w:rsidP="00876139">
      <w:pPr>
        <w:pStyle w:val="NormalWeb"/>
        <w:rPr>
          <w:rFonts w:ascii="Arial" w:hAnsi="Arial" w:cs="Arial"/>
          <w:color w:val="000000"/>
        </w:rPr>
      </w:pPr>
      <w:r w:rsidRPr="009D0A58">
        <w:rPr>
          <w:rFonts w:ascii="Arial" w:hAnsi="Arial" w:cs="Arial"/>
          <w:color w:val="000000"/>
        </w:rPr>
        <w:t xml:space="preserve">As required any items indicated as </w:t>
      </w:r>
      <w:r w:rsidR="00876139">
        <w:rPr>
          <w:rFonts w:ascii="Arial" w:hAnsi="Arial" w:cs="Arial"/>
          <w:color w:val="000000"/>
        </w:rPr>
        <w:t xml:space="preserve">“No” or </w:t>
      </w:r>
      <w:r w:rsidRPr="009D0A58">
        <w:rPr>
          <w:rFonts w:ascii="Arial" w:hAnsi="Arial" w:cs="Arial"/>
          <w:color w:val="000000"/>
        </w:rPr>
        <w:t>“Not Covered” must be explained.</w:t>
      </w:r>
    </w:p>
    <w:p w14:paraId="26835779" w14:textId="0131638A" w:rsidR="00AF70E5" w:rsidRDefault="00AF70E5" w:rsidP="00C02C27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B1425F">
        <w:rPr>
          <w:rFonts w:ascii="Arial" w:hAnsi="Arial" w:cs="Arial"/>
        </w:rPr>
        <w:t>Internal Control Objective</w:t>
      </w:r>
      <w:r>
        <w:rPr>
          <w:rFonts w:ascii="Arial" w:hAnsi="Arial" w:cs="Arial"/>
        </w:rPr>
        <w:t xml:space="preserve"> “D” has been ticked as “No” </w:t>
      </w:r>
      <w:r w:rsidR="00466D81">
        <w:rPr>
          <w:rFonts w:ascii="Arial" w:hAnsi="Arial" w:cs="Arial"/>
        </w:rPr>
        <w:t xml:space="preserve">as the </w:t>
      </w:r>
      <w:r w:rsidR="00FA5A0F">
        <w:rPr>
          <w:rFonts w:ascii="Arial" w:hAnsi="Arial" w:cs="Arial"/>
        </w:rPr>
        <w:t xml:space="preserve">precept was </w:t>
      </w:r>
      <w:r w:rsidR="00954ED0">
        <w:rPr>
          <w:rFonts w:ascii="Arial" w:hAnsi="Arial" w:cs="Arial"/>
        </w:rPr>
        <w:t xml:space="preserve">discussed under agenda item </w:t>
      </w:r>
      <w:r w:rsidR="00FA5A0F">
        <w:rPr>
          <w:rFonts w:ascii="Arial" w:hAnsi="Arial" w:cs="Arial"/>
        </w:rPr>
        <w:t>84.25</w:t>
      </w:r>
      <w:r w:rsidR="00954ED0">
        <w:rPr>
          <w:rFonts w:ascii="Arial" w:hAnsi="Arial" w:cs="Arial"/>
        </w:rPr>
        <w:t xml:space="preserve"> “Any Other Business”</w:t>
      </w:r>
      <w:r w:rsidR="00ED39CE">
        <w:rPr>
          <w:rFonts w:ascii="Arial" w:hAnsi="Arial" w:cs="Arial"/>
        </w:rPr>
        <w:t xml:space="preserve">. </w:t>
      </w:r>
      <w:r w:rsidR="00ED39CE">
        <w:rPr>
          <w:rFonts w:ascii="Arial" w:hAnsi="Arial" w:cs="Arial"/>
          <w:color w:val="000000"/>
        </w:rPr>
        <w:t xml:space="preserve">This was not a lawful decision and in future, the setting of the precept </w:t>
      </w:r>
      <w:r w:rsidR="00ED39CE" w:rsidRPr="00AF34DD">
        <w:rPr>
          <w:rFonts w:ascii="Arial" w:hAnsi="Arial" w:cs="Arial"/>
          <w:b/>
          <w:bCs/>
          <w:color w:val="000000"/>
        </w:rPr>
        <w:t>must</w:t>
      </w:r>
      <w:r w:rsidR="00ED39CE">
        <w:rPr>
          <w:rFonts w:ascii="Arial" w:hAnsi="Arial" w:cs="Arial"/>
          <w:color w:val="000000"/>
        </w:rPr>
        <w:t xml:space="preserve"> have its own agenda item</w:t>
      </w:r>
      <w:r w:rsidR="00AF34DD">
        <w:rPr>
          <w:rFonts w:ascii="Arial" w:hAnsi="Arial" w:cs="Arial"/>
        </w:rPr>
        <w:t>.</w:t>
      </w:r>
      <w:r w:rsidR="00954ED0">
        <w:rPr>
          <w:rFonts w:ascii="Arial" w:hAnsi="Arial" w:cs="Arial"/>
        </w:rPr>
        <w:t xml:space="preserve"> </w:t>
      </w:r>
    </w:p>
    <w:p w14:paraId="2206E039" w14:textId="23B30995" w:rsidR="00C02C27" w:rsidRPr="00B1425F" w:rsidRDefault="00C02C27" w:rsidP="00C02C27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B1425F">
        <w:rPr>
          <w:rFonts w:ascii="Arial" w:hAnsi="Arial" w:cs="Arial"/>
        </w:rPr>
        <w:t>Internal Control Objective ‘F’ has been ticked as “No” as the parish council does not operate a petty cash system and there were no cash transactions.</w:t>
      </w:r>
    </w:p>
    <w:p w14:paraId="313B5298" w14:textId="3176CD28" w:rsidR="00767A8A" w:rsidRPr="008F2BC1" w:rsidRDefault="00767A8A" w:rsidP="00C02C27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2BC1">
        <w:rPr>
          <w:rFonts w:ascii="Arial" w:eastAsia="Times New Roman" w:hAnsi="Arial" w:cs="Arial"/>
          <w:kern w:val="0"/>
          <w:lang w:eastAsia="en-GB"/>
          <w14:ligatures w14:val="none"/>
        </w:rPr>
        <w:t>Internal Control Objective “K” has been ticked as “Not Covered” as the parish council was not exempt from a limited assurance review in 202</w:t>
      </w:r>
      <w:r w:rsidR="008F2BC1" w:rsidRPr="008F2BC1">
        <w:rPr>
          <w:rFonts w:ascii="Arial" w:eastAsia="Times New Roman" w:hAnsi="Arial" w:cs="Arial"/>
          <w:kern w:val="0"/>
          <w:lang w:eastAsia="en-GB"/>
          <w14:ligatures w14:val="none"/>
        </w:rPr>
        <w:t>4</w:t>
      </w:r>
      <w:r w:rsidRPr="008F2BC1">
        <w:rPr>
          <w:rFonts w:ascii="Arial" w:eastAsia="Times New Roman" w:hAnsi="Arial" w:cs="Arial"/>
          <w:kern w:val="0"/>
          <w:lang w:eastAsia="en-GB"/>
          <w14:ligatures w14:val="none"/>
        </w:rPr>
        <w:t>/2</w:t>
      </w:r>
      <w:r w:rsidR="008F2BC1" w:rsidRPr="008F2BC1">
        <w:rPr>
          <w:rFonts w:ascii="Arial" w:eastAsia="Times New Roman" w:hAnsi="Arial" w:cs="Arial"/>
          <w:kern w:val="0"/>
          <w:lang w:eastAsia="en-GB"/>
          <w14:ligatures w14:val="none"/>
        </w:rPr>
        <w:t>5</w:t>
      </w:r>
      <w:r w:rsidRPr="008F2BC1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7CD49CFB" w14:textId="67FF56EB" w:rsidR="00C02C27" w:rsidRPr="00567D09" w:rsidRDefault="00C02C27" w:rsidP="00C02C2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67D09">
        <w:rPr>
          <w:rFonts w:ascii="Arial" w:hAnsi="Arial" w:cs="Arial"/>
        </w:rPr>
        <w:t>Internal Control Objective ‘</w:t>
      </w:r>
      <w:r w:rsidR="00567D09" w:rsidRPr="00567D09">
        <w:rPr>
          <w:rFonts w:ascii="Arial" w:hAnsi="Arial" w:cs="Arial"/>
        </w:rPr>
        <w:t>P</w:t>
      </w:r>
      <w:r w:rsidRPr="00567D09">
        <w:rPr>
          <w:rFonts w:ascii="Arial" w:hAnsi="Arial" w:cs="Arial"/>
        </w:rPr>
        <w:t>’ has been ticked as “Not Applicable” as it is my understanding that the parish council does not act as</w:t>
      </w:r>
      <w:r w:rsidR="00791226">
        <w:rPr>
          <w:rFonts w:ascii="Arial" w:hAnsi="Arial" w:cs="Arial"/>
        </w:rPr>
        <w:t xml:space="preserve"> a</w:t>
      </w:r>
      <w:r w:rsidRPr="00567D09">
        <w:rPr>
          <w:rFonts w:ascii="Arial" w:hAnsi="Arial" w:cs="Arial"/>
        </w:rPr>
        <w:t xml:space="preserve"> Trustee.</w:t>
      </w:r>
    </w:p>
    <w:p w14:paraId="039744D2" w14:textId="77777777" w:rsidR="00C02C27" w:rsidRDefault="00C02C27" w:rsidP="00C02C27">
      <w:pPr>
        <w:pStyle w:val="NoSpacing"/>
        <w:rPr>
          <w:rFonts w:ascii="Arial" w:hAnsi="Arial" w:cs="Arial"/>
        </w:rPr>
      </w:pPr>
      <w:r w:rsidRPr="00B01F8F">
        <w:rPr>
          <w:rFonts w:ascii="Arial" w:hAnsi="Arial" w:cs="Arial"/>
        </w:rPr>
        <w:t>The following areas have been covered:</w:t>
      </w:r>
    </w:p>
    <w:p w14:paraId="5D37D4AD" w14:textId="77777777" w:rsidR="00C02C27" w:rsidRDefault="00C02C27" w:rsidP="00C02C27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02C27" w14:paraId="4FFF0031" w14:textId="77777777" w:rsidTr="00A16B15">
        <w:tc>
          <w:tcPr>
            <w:tcW w:w="4644" w:type="dxa"/>
          </w:tcPr>
          <w:p w14:paraId="41E6C704" w14:textId="77777777" w:rsidR="00C02C27" w:rsidRDefault="00C02C27" w:rsidP="00C02C2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87AE7">
              <w:rPr>
                <w:rFonts w:ascii="Arial" w:hAnsi="Arial" w:cs="Arial"/>
              </w:rPr>
              <w:t>Accounting Statements.</w:t>
            </w:r>
            <w:r w:rsidRPr="00187AE7">
              <w:rPr>
                <w:rFonts w:ascii="Arial" w:hAnsi="Arial" w:cs="Arial"/>
              </w:rPr>
              <w:tab/>
            </w:r>
          </w:p>
          <w:p w14:paraId="4D6DB9F2" w14:textId="77777777" w:rsidR="00C02C27" w:rsidRPr="00187AE7" w:rsidRDefault="00C02C27" w:rsidP="00C02C2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87AE7">
              <w:rPr>
                <w:rFonts w:ascii="Arial" w:hAnsi="Arial" w:cs="Arial"/>
              </w:rPr>
              <w:t>Bank Reconciliation.</w:t>
            </w:r>
          </w:p>
          <w:p w14:paraId="05835C6C" w14:textId="77777777" w:rsidR="00C02C27" w:rsidRPr="00B01F8F" w:rsidRDefault="00C02C27" w:rsidP="00C02C2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01F8F">
              <w:rPr>
                <w:rFonts w:ascii="Arial" w:hAnsi="Arial" w:cs="Arial"/>
              </w:rPr>
              <w:t>Payments.</w:t>
            </w:r>
          </w:p>
          <w:p w14:paraId="1B7D571B" w14:textId="77777777" w:rsidR="00C02C27" w:rsidRPr="00B01F8F" w:rsidRDefault="00C02C27" w:rsidP="00C02C2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01F8F">
              <w:rPr>
                <w:rFonts w:ascii="Arial" w:hAnsi="Arial" w:cs="Arial"/>
              </w:rPr>
              <w:t>Income.</w:t>
            </w:r>
          </w:p>
          <w:p w14:paraId="32835F4E" w14:textId="77777777" w:rsidR="00C02C27" w:rsidRPr="00B01F8F" w:rsidRDefault="00C02C27" w:rsidP="00C02C2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01F8F">
              <w:rPr>
                <w:rFonts w:ascii="Arial" w:hAnsi="Arial" w:cs="Arial"/>
              </w:rPr>
              <w:t>Internal Controls.</w:t>
            </w:r>
          </w:p>
          <w:p w14:paraId="74EC0B86" w14:textId="77777777" w:rsidR="00C02C27" w:rsidRDefault="00C02C27" w:rsidP="00C02C2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01F8F">
              <w:rPr>
                <w:rFonts w:ascii="Arial" w:hAnsi="Arial" w:cs="Arial"/>
              </w:rPr>
              <w:t>Insurance Provision.</w:t>
            </w:r>
          </w:p>
          <w:p w14:paraId="1E830BDE" w14:textId="77777777" w:rsidR="00C02C27" w:rsidRPr="00666FF4" w:rsidRDefault="00C02C27" w:rsidP="00C02C2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01F8F">
              <w:rPr>
                <w:rFonts w:ascii="Arial" w:hAnsi="Arial" w:cs="Arial"/>
              </w:rPr>
              <w:t>Asset Register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644" w:type="dxa"/>
          </w:tcPr>
          <w:p w14:paraId="246B049D" w14:textId="77777777" w:rsidR="00C02C27" w:rsidRPr="00B01F8F" w:rsidRDefault="00C02C27" w:rsidP="00C02C2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01F8F">
              <w:rPr>
                <w:rFonts w:ascii="Arial" w:hAnsi="Arial" w:cs="Arial"/>
              </w:rPr>
              <w:t>Policies.</w:t>
            </w:r>
          </w:p>
          <w:p w14:paraId="389CC105" w14:textId="77777777" w:rsidR="00C02C27" w:rsidRPr="00B01F8F" w:rsidRDefault="00C02C27" w:rsidP="00C02C2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01F8F">
              <w:rPr>
                <w:rFonts w:ascii="Arial" w:hAnsi="Arial" w:cs="Arial"/>
              </w:rPr>
              <w:t>Minutes.</w:t>
            </w:r>
          </w:p>
          <w:p w14:paraId="70A5A951" w14:textId="77777777" w:rsidR="00C02C27" w:rsidRPr="00B01F8F" w:rsidRDefault="00C02C27" w:rsidP="00C02C2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01F8F">
              <w:rPr>
                <w:rFonts w:ascii="Arial" w:hAnsi="Arial" w:cs="Arial"/>
              </w:rPr>
              <w:t>Publication Scheme.</w:t>
            </w:r>
          </w:p>
          <w:p w14:paraId="1E5D73BA" w14:textId="77777777" w:rsidR="00C02C27" w:rsidRPr="00B01F8F" w:rsidRDefault="00C02C27" w:rsidP="00C02C2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01F8F">
              <w:rPr>
                <w:rFonts w:ascii="Arial" w:hAnsi="Arial" w:cs="Arial"/>
              </w:rPr>
              <w:t>Risk.</w:t>
            </w:r>
          </w:p>
          <w:p w14:paraId="022D5E3F" w14:textId="77777777" w:rsidR="00C02C27" w:rsidRPr="00B01F8F" w:rsidRDefault="00C02C27" w:rsidP="00C02C2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01F8F">
              <w:rPr>
                <w:rFonts w:ascii="Arial" w:hAnsi="Arial" w:cs="Arial"/>
              </w:rPr>
              <w:t>VAT.</w:t>
            </w:r>
          </w:p>
          <w:p w14:paraId="218548CB" w14:textId="77777777" w:rsidR="00C02C27" w:rsidRPr="00B01F8F" w:rsidRDefault="00C02C27" w:rsidP="00C02C2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01F8F">
              <w:rPr>
                <w:rFonts w:ascii="Arial" w:hAnsi="Arial" w:cs="Arial"/>
              </w:rPr>
              <w:t>Grants.</w:t>
            </w:r>
          </w:p>
          <w:p w14:paraId="1146462E" w14:textId="77777777" w:rsidR="00C02C27" w:rsidRPr="00666FF4" w:rsidRDefault="00C02C27" w:rsidP="00C02C27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01F8F">
              <w:rPr>
                <w:rFonts w:ascii="Arial" w:hAnsi="Arial" w:cs="Arial"/>
              </w:rPr>
              <w:t>Staffing.</w:t>
            </w:r>
          </w:p>
        </w:tc>
      </w:tr>
    </w:tbl>
    <w:p w14:paraId="04B73B76" w14:textId="65AE50A8" w:rsidR="00C02C27" w:rsidRPr="00A249A9" w:rsidRDefault="00C02C27" w:rsidP="00C02C27">
      <w:pPr>
        <w:pStyle w:val="NormalWeb"/>
        <w:rPr>
          <w:rFonts w:ascii="Arial" w:hAnsi="Arial" w:cs="Arial"/>
          <w:b/>
          <w:bCs/>
          <w:color w:val="000000"/>
        </w:rPr>
      </w:pPr>
      <w:r w:rsidRPr="00A249A9">
        <w:rPr>
          <w:rFonts w:ascii="Arial" w:hAnsi="Arial" w:cs="Arial"/>
          <w:b/>
          <w:bCs/>
          <w:color w:val="000000"/>
        </w:rPr>
        <w:t>Observations / Action Required</w:t>
      </w:r>
      <w:r w:rsidR="002A40E9" w:rsidRPr="00A249A9">
        <w:rPr>
          <w:rFonts w:ascii="Arial" w:hAnsi="Arial" w:cs="Arial"/>
          <w:b/>
          <w:bCs/>
          <w:color w:val="000000"/>
        </w:rPr>
        <w:t>:</w:t>
      </w:r>
    </w:p>
    <w:p w14:paraId="2CC0C989" w14:textId="68832E80" w:rsidR="000235A9" w:rsidRPr="00E04F93" w:rsidRDefault="00FF3E55" w:rsidP="00E04F93">
      <w:pPr>
        <w:pStyle w:val="NoSpacing"/>
        <w:numPr>
          <w:ilvl w:val="0"/>
          <w:numId w:val="6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Standing Orders </w:t>
      </w:r>
      <w:r w:rsidR="000E43BC"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–</w:t>
      </w:r>
      <w:r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="000E43BC"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there were significant changes to </w:t>
      </w:r>
      <w:r w:rsidR="00AB2BE6"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NALC</w:t>
      </w:r>
      <w:r w:rsidR="000E43BC"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’s</w:t>
      </w:r>
      <w:r w:rsidR="00AB2BE6"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model Standing Orders </w:t>
      </w:r>
      <w:r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in March </w:t>
      </w:r>
      <w:proofErr w:type="gramStart"/>
      <w:r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2025</w:t>
      </w:r>
      <w:proofErr w:type="gramEnd"/>
      <w:r w:rsidR="00AB2BE6"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so </w:t>
      </w:r>
      <w:r w:rsidR="008621DE"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you need to </w:t>
      </w:r>
      <w:r w:rsidR="00AB2BE6"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adapt them to your needs</w:t>
      </w:r>
      <w:r w:rsidR="008F3139"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35EA5538" w14:textId="65C480D0" w:rsidR="00E04F93" w:rsidRPr="00E04F93" w:rsidRDefault="000235A9" w:rsidP="00E04F93">
      <w:pPr>
        <w:pStyle w:val="NoSpacing"/>
        <w:numPr>
          <w:ilvl w:val="0"/>
          <w:numId w:val="6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The Code of Conduct must be </w:t>
      </w:r>
      <w:r w:rsidR="00F80F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publis</w:t>
      </w:r>
      <w:r w:rsidR="002A308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</w:t>
      </w:r>
      <w:r w:rsidR="00F80F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ed</w:t>
      </w:r>
      <w:r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on the website.</w:t>
      </w:r>
    </w:p>
    <w:p w14:paraId="6A654E94" w14:textId="504482A1" w:rsidR="00AB2BE6" w:rsidRDefault="00A128D1" w:rsidP="00E04F93">
      <w:pPr>
        <w:pStyle w:val="NoSpacing"/>
        <w:numPr>
          <w:ilvl w:val="0"/>
          <w:numId w:val="6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Asset Register - t</w:t>
      </w:r>
      <w:r w:rsidR="00EB0306"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he listing of assets just shows the year end value. There is no comparison to the previous year. The asset register should have columns of the </w:t>
      </w:r>
      <w:proofErr w:type="gramStart"/>
      <w:r w:rsidR="00EB0306"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</w:t>
      </w:r>
      <w:r w:rsidR="00406FE1"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</w:t>
      </w:r>
      <w:r w:rsidR="00A078B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</w:t>
      </w:r>
      <w:proofErr w:type="gramEnd"/>
      <w:r w:rsidR="00A078B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="00EB0306"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April value, additions, disposals and then a 31</w:t>
      </w:r>
      <w:r w:rsidR="00406FE1"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st </w:t>
      </w:r>
      <w:r w:rsidR="00EB0306"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March value</w:t>
      </w:r>
      <w:r w:rsidRPr="00E04F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68259785" w14:textId="77777777" w:rsidR="00A26D3A" w:rsidRDefault="00B74657" w:rsidP="00A26D3A">
      <w:pPr>
        <w:pStyle w:val="NoSpacing"/>
        <w:numPr>
          <w:ilvl w:val="0"/>
          <w:numId w:val="6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D969E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The </w:t>
      </w:r>
      <w:r w:rsidR="00DC7CF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agenda</w:t>
      </w:r>
      <w:r w:rsidRPr="00D969E4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should clearly state who issued it and on what date</w:t>
      </w:r>
      <w:r w:rsidR="00A26D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. </w:t>
      </w:r>
    </w:p>
    <w:p w14:paraId="083E4F24" w14:textId="39F431C1" w:rsidR="000E3D66" w:rsidRPr="00A26D3A" w:rsidRDefault="00DC7CF8" w:rsidP="00A26D3A">
      <w:pPr>
        <w:pStyle w:val="NoSpacing"/>
        <w:numPr>
          <w:ilvl w:val="0"/>
          <w:numId w:val="6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A26D3A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Apologies for absence should be an agenda item.</w:t>
      </w:r>
    </w:p>
    <w:p w14:paraId="1141431D" w14:textId="68FC420E" w:rsidR="00DC7CF8" w:rsidRPr="00C30CD8" w:rsidRDefault="00C817D4" w:rsidP="00C30CD8">
      <w:pPr>
        <w:pStyle w:val="NoSpacing"/>
        <w:numPr>
          <w:ilvl w:val="0"/>
          <w:numId w:val="6"/>
        </w:num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B13F2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lastRenderedPageBreak/>
        <w:t>A</w:t>
      </w:r>
      <w:r w:rsidR="00430B8D" w:rsidRPr="00B13F2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council cannot lawfully </w:t>
      </w:r>
      <w:proofErr w:type="gramStart"/>
      <w:r w:rsidR="00430B8D" w:rsidRPr="00B13F2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make a decision</w:t>
      </w:r>
      <w:proofErr w:type="gramEnd"/>
      <w:r w:rsidR="00430B8D" w:rsidRPr="00B13F2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unless the matter has been clearly identified in an agenda</w:t>
      </w:r>
      <w:r w:rsidRPr="00B13F2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. </w:t>
      </w:r>
      <w:r w:rsidR="00CD4E7F" w:rsidRPr="00B13F2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Therefore, I recommend </w:t>
      </w:r>
      <w:r w:rsidR="00430B8D" w:rsidRPr="00B13F2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avoid</w:t>
      </w:r>
      <w:r w:rsidR="00CD4E7F" w:rsidRPr="00B13F2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ing</w:t>
      </w:r>
      <w:r w:rsidR="00430B8D" w:rsidRPr="00B13F2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having an agenda item of "Any Other Business"</w:t>
      </w:r>
      <w:r w:rsidR="007B672F" w:rsidRPr="00B13F2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but suggest “Matters of Note” and/or “Items for</w:t>
      </w:r>
      <w:r w:rsidR="00D34877" w:rsidRPr="00B13F2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the next meeting”</w:t>
      </w:r>
      <w:r w:rsidR="00DF594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71589375" w14:textId="2D376537" w:rsidR="00470243" w:rsidRDefault="00470243" w:rsidP="00BD02FF">
      <w:pPr>
        <w:pStyle w:val="NoSpacing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505B1F7C" w14:textId="77777777" w:rsidR="00BD02FF" w:rsidRDefault="00BD02FF" w:rsidP="00BD02FF">
      <w:pPr>
        <w:pStyle w:val="NoSpacing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57D217BB" w14:textId="77777777" w:rsidR="00312AC0" w:rsidRDefault="00312AC0" w:rsidP="00BD02FF">
      <w:pPr>
        <w:pStyle w:val="NoSpacing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4345E181" w14:textId="77777777" w:rsidR="00312AC0" w:rsidRPr="00D969E4" w:rsidRDefault="00312AC0" w:rsidP="00BD02FF">
      <w:pPr>
        <w:pStyle w:val="NoSpacing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429781FA" w14:textId="77777777" w:rsidR="002213DE" w:rsidRDefault="002213DE" w:rsidP="00C02C27">
      <w:pPr>
        <w:pStyle w:val="NoSpacing"/>
        <w:rPr>
          <w:rFonts w:ascii="Arial" w:hAnsi="Arial" w:cs="Arial"/>
        </w:rPr>
      </w:pPr>
    </w:p>
    <w:p w14:paraId="56C25E5D" w14:textId="2BB10EF4" w:rsidR="00C02C27" w:rsidRPr="00AA5CCA" w:rsidRDefault="00C02C27" w:rsidP="00C02C27">
      <w:pPr>
        <w:pStyle w:val="NoSpacing"/>
        <w:rPr>
          <w:rFonts w:ascii="Arial" w:hAnsi="Arial" w:cs="Arial"/>
        </w:rPr>
      </w:pPr>
      <w:r w:rsidRPr="00AA5CCA">
        <w:rPr>
          <w:rFonts w:ascii="Arial" w:hAnsi="Arial" w:cs="Arial"/>
        </w:rPr>
        <w:t xml:space="preserve">Melanie Rose, </w:t>
      </w:r>
      <w:proofErr w:type="spellStart"/>
      <w:r w:rsidRPr="00AA5CCA">
        <w:rPr>
          <w:rFonts w:ascii="Arial" w:hAnsi="Arial" w:cs="Arial"/>
        </w:rPr>
        <w:t>Cilca</w:t>
      </w:r>
      <w:proofErr w:type="spellEnd"/>
    </w:p>
    <w:p w14:paraId="79AB0700" w14:textId="77777777" w:rsidR="00C02C27" w:rsidRPr="00AA5CCA" w:rsidRDefault="00C02C27" w:rsidP="00C02C27">
      <w:pPr>
        <w:pStyle w:val="NoSpacing"/>
        <w:rPr>
          <w:rFonts w:ascii="Arial" w:hAnsi="Arial" w:cs="Arial"/>
        </w:rPr>
      </w:pPr>
      <w:r w:rsidRPr="00AA5CCA">
        <w:rPr>
          <w:rFonts w:ascii="Arial" w:hAnsi="Arial" w:cs="Arial"/>
        </w:rPr>
        <w:t>Auditor</w:t>
      </w:r>
    </w:p>
    <w:p w14:paraId="39614D57" w14:textId="58E88243" w:rsidR="00C02C27" w:rsidRDefault="007D79E3" w:rsidP="00C02C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213DE">
        <w:rPr>
          <w:rFonts w:ascii="Arial" w:hAnsi="Arial" w:cs="Arial"/>
        </w:rPr>
        <w:t>9</w:t>
      </w:r>
      <w:r w:rsidRPr="007D79E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</w:t>
      </w:r>
      <w:r w:rsidR="00C02C27" w:rsidRPr="00AA5CCA">
        <w:rPr>
          <w:rFonts w:ascii="Arial" w:hAnsi="Arial" w:cs="Arial"/>
        </w:rPr>
        <w:t xml:space="preserve"> 2026</w:t>
      </w:r>
    </w:p>
    <w:p w14:paraId="29CBB060" w14:textId="77777777" w:rsidR="00767A8A" w:rsidRDefault="00767A8A" w:rsidP="00856B6B"/>
    <w:sectPr w:rsidR="00767A8A" w:rsidSect="00FD7095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3F6B0" w14:textId="77777777" w:rsidR="00BE4C4E" w:rsidRDefault="00BE4C4E" w:rsidP="002A3082">
      <w:pPr>
        <w:spacing w:after="0" w:line="240" w:lineRule="auto"/>
      </w:pPr>
      <w:r>
        <w:separator/>
      </w:r>
    </w:p>
  </w:endnote>
  <w:endnote w:type="continuationSeparator" w:id="0">
    <w:p w14:paraId="72BC23DC" w14:textId="77777777" w:rsidR="00BE4C4E" w:rsidRDefault="00BE4C4E" w:rsidP="002A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5D3C" w14:textId="77777777" w:rsidR="00BE4C4E" w:rsidRDefault="00BE4C4E" w:rsidP="002A3082">
      <w:pPr>
        <w:spacing w:after="0" w:line="240" w:lineRule="auto"/>
      </w:pPr>
      <w:r>
        <w:separator/>
      </w:r>
    </w:p>
  </w:footnote>
  <w:footnote w:type="continuationSeparator" w:id="0">
    <w:p w14:paraId="3C12F1F9" w14:textId="77777777" w:rsidR="00BE4C4E" w:rsidRDefault="00BE4C4E" w:rsidP="002A3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02164"/>
    <w:multiLevelType w:val="hybridMultilevel"/>
    <w:tmpl w:val="7032A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FE7079"/>
    <w:multiLevelType w:val="hybridMultilevel"/>
    <w:tmpl w:val="507CF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1C5D35"/>
    <w:multiLevelType w:val="hybridMultilevel"/>
    <w:tmpl w:val="2EC8F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E15631"/>
    <w:multiLevelType w:val="hybridMultilevel"/>
    <w:tmpl w:val="C2864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EC6593"/>
    <w:multiLevelType w:val="hybridMultilevel"/>
    <w:tmpl w:val="2EBC6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EA4E73"/>
    <w:multiLevelType w:val="hybridMultilevel"/>
    <w:tmpl w:val="CF06A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1329901">
    <w:abstractNumId w:val="1"/>
  </w:num>
  <w:num w:numId="2" w16cid:durableId="1488938629">
    <w:abstractNumId w:val="3"/>
  </w:num>
  <w:num w:numId="3" w16cid:durableId="591279019">
    <w:abstractNumId w:val="4"/>
  </w:num>
  <w:num w:numId="4" w16cid:durableId="1611543722">
    <w:abstractNumId w:val="0"/>
  </w:num>
  <w:num w:numId="5" w16cid:durableId="502355451">
    <w:abstractNumId w:val="5"/>
  </w:num>
  <w:num w:numId="6" w16cid:durableId="2020964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51"/>
    <w:rsid w:val="000002A3"/>
    <w:rsid w:val="00014E24"/>
    <w:rsid w:val="000235A9"/>
    <w:rsid w:val="000C6D2A"/>
    <w:rsid w:val="000C7884"/>
    <w:rsid w:val="000E3D66"/>
    <w:rsid w:val="000E43BC"/>
    <w:rsid w:val="000E5737"/>
    <w:rsid w:val="0011521F"/>
    <w:rsid w:val="001E0623"/>
    <w:rsid w:val="002213DE"/>
    <w:rsid w:val="002A3082"/>
    <w:rsid w:val="002A40E9"/>
    <w:rsid w:val="00301FC0"/>
    <w:rsid w:val="003118CA"/>
    <w:rsid w:val="00312AC0"/>
    <w:rsid w:val="00340E14"/>
    <w:rsid w:val="00345087"/>
    <w:rsid w:val="00356F81"/>
    <w:rsid w:val="00365129"/>
    <w:rsid w:val="00366D74"/>
    <w:rsid w:val="00382DF2"/>
    <w:rsid w:val="003C7280"/>
    <w:rsid w:val="003D6D49"/>
    <w:rsid w:val="003E3536"/>
    <w:rsid w:val="00406FE1"/>
    <w:rsid w:val="00411095"/>
    <w:rsid w:val="00430B8D"/>
    <w:rsid w:val="0045457E"/>
    <w:rsid w:val="00466A1C"/>
    <w:rsid w:val="00466D81"/>
    <w:rsid w:val="00470243"/>
    <w:rsid w:val="00484B4B"/>
    <w:rsid w:val="004C5D55"/>
    <w:rsid w:val="004C78A6"/>
    <w:rsid w:val="004F554D"/>
    <w:rsid w:val="00567D09"/>
    <w:rsid w:val="005E544D"/>
    <w:rsid w:val="00670651"/>
    <w:rsid w:val="0069423B"/>
    <w:rsid w:val="006A4FCC"/>
    <w:rsid w:val="006C4D39"/>
    <w:rsid w:val="007600FF"/>
    <w:rsid w:val="00767A8A"/>
    <w:rsid w:val="00791226"/>
    <w:rsid w:val="00797C5A"/>
    <w:rsid w:val="007A3936"/>
    <w:rsid w:val="007B4C2F"/>
    <w:rsid w:val="007B672F"/>
    <w:rsid w:val="007D79E3"/>
    <w:rsid w:val="007F7B27"/>
    <w:rsid w:val="00856B6B"/>
    <w:rsid w:val="00860C3F"/>
    <w:rsid w:val="008621DE"/>
    <w:rsid w:val="00876139"/>
    <w:rsid w:val="008F2BC1"/>
    <w:rsid w:val="008F3139"/>
    <w:rsid w:val="00910B39"/>
    <w:rsid w:val="00940395"/>
    <w:rsid w:val="00954ED0"/>
    <w:rsid w:val="00A078B8"/>
    <w:rsid w:val="00A128D1"/>
    <w:rsid w:val="00A21A05"/>
    <w:rsid w:val="00A249A9"/>
    <w:rsid w:val="00A26D3A"/>
    <w:rsid w:val="00A81D3E"/>
    <w:rsid w:val="00AB2BE6"/>
    <w:rsid w:val="00AD10E3"/>
    <w:rsid w:val="00AF34DD"/>
    <w:rsid w:val="00AF70E5"/>
    <w:rsid w:val="00B13F26"/>
    <w:rsid w:val="00B1425F"/>
    <w:rsid w:val="00B74657"/>
    <w:rsid w:val="00BA4C97"/>
    <w:rsid w:val="00BD02FF"/>
    <w:rsid w:val="00BE4C4E"/>
    <w:rsid w:val="00C02C27"/>
    <w:rsid w:val="00C30CD8"/>
    <w:rsid w:val="00C55CAD"/>
    <w:rsid w:val="00C6027C"/>
    <w:rsid w:val="00C7764D"/>
    <w:rsid w:val="00C817D4"/>
    <w:rsid w:val="00C835F6"/>
    <w:rsid w:val="00CA1848"/>
    <w:rsid w:val="00CC791F"/>
    <w:rsid w:val="00CD4E7F"/>
    <w:rsid w:val="00D336C7"/>
    <w:rsid w:val="00D34877"/>
    <w:rsid w:val="00D5476B"/>
    <w:rsid w:val="00D969E4"/>
    <w:rsid w:val="00DA2669"/>
    <w:rsid w:val="00DC7CF8"/>
    <w:rsid w:val="00DF594F"/>
    <w:rsid w:val="00E04F93"/>
    <w:rsid w:val="00E56F1B"/>
    <w:rsid w:val="00E7002B"/>
    <w:rsid w:val="00EB0306"/>
    <w:rsid w:val="00ED39CE"/>
    <w:rsid w:val="00F034FC"/>
    <w:rsid w:val="00F258BC"/>
    <w:rsid w:val="00F4386D"/>
    <w:rsid w:val="00F52ED3"/>
    <w:rsid w:val="00F80FC0"/>
    <w:rsid w:val="00FA5A0F"/>
    <w:rsid w:val="00FD2FAC"/>
    <w:rsid w:val="00FD7095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AE67F"/>
  <w15:chartTrackingRefBased/>
  <w15:docId w15:val="{F436466C-954A-486D-8774-70A637B5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65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56B6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02A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2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C02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082"/>
  </w:style>
  <w:style w:type="paragraph" w:styleId="Footer">
    <w:name w:val="footer"/>
    <w:basedOn w:val="Normal"/>
    <w:link w:val="FooterChar"/>
    <w:uiPriority w:val="99"/>
    <w:unhideWhenUsed/>
    <w:rsid w:val="002A3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Rose</dc:creator>
  <cp:keywords/>
  <dc:description/>
  <cp:lastModifiedBy>Melanie Rose</cp:lastModifiedBy>
  <cp:revision>74</cp:revision>
  <dcterms:created xsi:type="dcterms:W3CDTF">2026-05-17T09:17:00Z</dcterms:created>
  <dcterms:modified xsi:type="dcterms:W3CDTF">2026-05-19T18:50:00Z</dcterms:modified>
</cp:coreProperties>
</file>